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510" w14:textId="77777777" w:rsidR="00DE292D" w:rsidRPr="003746BA" w:rsidRDefault="00091ADD" w:rsidP="00DF4904">
      <w:pPr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3746BA">
        <w:rPr>
          <w:rFonts w:ascii="Times New Roman" w:eastAsia="標楷體" w:hAnsi="Times New Roman" w:cs="Times New Roman"/>
          <w:b/>
          <w:sz w:val="36"/>
          <w:szCs w:val="40"/>
        </w:rPr>
        <w:t>國立中央大學</w:t>
      </w:r>
      <w:r w:rsidR="000A69BB" w:rsidRPr="003746BA">
        <w:rPr>
          <w:rFonts w:ascii="Times New Roman" w:eastAsia="標楷體" w:hAnsi="Times New Roman" w:cs="Times New Roman" w:hint="eastAsia"/>
          <w:b/>
          <w:sz w:val="36"/>
          <w:szCs w:val="40"/>
        </w:rPr>
        <w:t>特殊教育學生</w:t>
      </w:r>
      <w:r w:rsidR="00A77C1C" w:rsidRPr="003746BA">
        <w:rPr>
          <w:rFonts w:ascii="Times New Roman" w:eastAsia="標楷體" w:hAnsi="Times New Roman" w:cs="Times New Roman"/>
          <w:b/>
          <w:sz w:val="36"/>
          <w:szCs w:val="40"/>
        </w:rPr>
        <w:t>課業輔導</w:t>
      </w:r>
      <w:r w:rsidRPr="003746BA">
        <w:rPr>
          <w:rFonts w:ascii="Times New Roman" w:eastAsia="標楷體" w:hAnsi="Times New Roman" w:cs="Times New Roman"/>
          <w:b/>
          <w:sz w:val="36"/>
          <w:szCs w:val="40"/>
        </w:rPr>
        <w:t>辦法</w:t>
      </w:r>
    </w:p>
    <w:p w14:paraId="33850358" w14:textId="77777777" w:rsidR="0079575E" w:rsidRDefault="0079575E" w:rsidP="0079575E">
      <w:pPr>
        <w:wordWrap w:val="0"/>
        <w:spacing w:line="276" w:lineRule="auto"/>
        <w:jc w:val="right"/>
        <w:rPr>
          <w:rFonts w:ascii="標楷體" w:eastAsia="標楷體" w:hAnsi="標楷體"/>
        </w:rPr>
      </w:pPr>
    </w:p>
    <w:p w14:paraId="10DE1C9D" w14:textId="655AAE6B" w:rsidR="00091ADD" w:rsidRDefault="002A73FE" w:rsidP="002A73FE">
      <w:pPr>
        <w:pStyle w:val="a7"/>
        <w:spacing w:line="240" w:lineRule="atLeast"/>
        <w:ind w:leftChars="0" w:left="360"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</w:t>
      </w:r>
      <w:r w:rsidR="00FF2C05" w:rsidRPr="00B65F12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05</w:t>
      </w:r>
      <w:r w:rsidR="00FF2C05" w:rsidRPr="00B65F12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</w:t>
      </w:r>
      <w:r w:rsidR="00291B02">
        <w:rPr>
          <w:rFonts w:ascii="標楷體" w:eastAsia="標楷體" w:hAnsi="標楷體" w:hint="eastAsia"/>
        </w:rPr>
        <w:t>0</w:t>
      </w:r>
      <w:r w:rsidR="00FF2C05" w:rsidRPr="00B65F12">
        <w:rPr>
          <w:rFonts w:ascii="標楷體" w:eastAsia="標楷體" w:hAnsi="標楷體"/>
        </w:rPr>
        <w:t>日特殊教育推行委員會會議</w:t>
      </w:r>
      <w:r>
        <w:rPr>
          <w:rFonts w:ascii="標楷體" w:eastAsia="標楷體" w:hAnsi="標楷體" w:hint="eastAsia"/>
        </w:rPr>
        <w:t>通過</w:t>
      </w:r>
    </w:p>
    <w:p w14:paraId="62E21D0E" w14:textId="4FC66678" w:rsidR="00CA6A34" w:rsidRPr="00B65F12" w:rsidRDefault="00CA6A34" w:rsidP="002A73FE">
      <w:pPr>
        <w:pStyle w:val="a7"/>
        <w:spacing w:line="240" w:lineRule="atLeast"/>
        <w:ind w:leftChars="0" w:left="360"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114年11月12日</w:t>
      </w:r>
      <w:r w:rsidRPr="00B65F12">
        <w:rPr>
          <w:rFonts w:ascii="標楷體" w:eastAsia="標楷體" w:hAnsi="標楷體"/>
        </w:rPr>
        <w:t>特殊教育推行委員會會議</w:t>
      </w:r>
      <w:r>
        <w:rPr>
          <w:rFonts w:ascii="標楷體" w:eastAsia="標楷體" w:hAnsi="標楷體" w:hint="eastAsia"/>
        </w:rPr>
        <w:t>修正通過</w:t>
      </w:r>
    </w:p>
    <w:p w14:paraId="33FC7E1D" w14:textId="77777777" w:rsidR="00190322" w:rsidRPr="00FF2C05" w:rsidRDefault="00190322" w:rsidP="00190322">
      <w:pPr>
        <w:spacing w:line="240" w:lineRule="atLeast"/>
        <w:jc w:val="right"/>
        <w:rPr>
          <w:rFonts w:ascii="標楷體" w:eastAsia="標楷體" w:hAnsi="標楷體" w:cs="Times New Roman"/>
        </w:rPr>
      </w:pPr>
    </w:p>
    <w:p w14:paraId="787EF885" w14:textId="77777777" w:rsidR="00B65F12" w:rsidRPr="00F80BD5" w:rsidRDefault="00A049C9" w:rsidP="00190322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Cs w:val="26"/>
        </w:rPr>
      </w:pPr>
      <w:r w:rsidRPr="00F80BD5">
        <w:rPr>
          <w:rFonts w:ascii="Times New Roman" w:eastAsia="標楷體" w:hAnsi="Times New Roman" w:cs="Times New Roman" w:hint="eastAsia"/>
          <w:szCs w:val="26"/>
        </w:rPr>
        <w:t>本辦法</w:t>
      </w:r>
      <w:r w:rsidR="00B65F12" w:rsidRPr="00F80BD5">
        <w:rPr>
          <w:rFonts w:ascii="Times New Roman" w:eastAsia="標楷體" w:hAnsi="Times New Roman" w:cs="Times New Roman" w:hint="eastAsia"/>
          <w:szCs w:val="26"/>
        </w:rPr>
        <w:t>依</w:t>
      </w:r>
      <w:r w:rsidR="00101826" w:rsidRPr="00F80BD5">
        <w:rPr>
          <w:rFonts w:ascii="標楷體" w:eastAsia="標楷體" w:hAnsi="標楷體" w:hint="eastAsia"/>
          <w:szCs w:val="26"/>
        </w:rPr>
        <w:t>教育部</w:t>
      </w:r>
      <w:r w:rsidR="00B65F12" w:rsidRPr="00F80BD5">
        <w:rPr>
          <w:rFonts w:ascii="標楷體" w:eastAsia="標楷體" w:hAnsi="標楷體" w:hint="eastAsia"/>
          <w:szCs w:val="26"/>
        </w:rPr>
        <w:t>「</w:t>
      </w:r>
      <w:r w:rsidR="00101826" w:rsidRPr="00F80BD5">
        <w:rPr>
          <w:rFonts w:ascii="標楷體" w:eastAsia="標楷體" w:hAnsi="標楷體" w:hint="eastAsia"/>
          <w:szCs w:val="26"/>
        </w:rPr>
        <w:t>補助大專校院招收及輔導身心障礙學生實施要點</w:t>
      </w:r>
      <w:r w:rsidR="00B65F12" w:rsidRPr="00F80BD5">
        <w:rPr>
          <w:rFonts w:ascii="標楷體" w:eastAsia="標楷體" w:hAnsi="標楷體" w:hint="eastAsia"/>
          <w:szCs w:val="26"/>
        </w:rPr>
        <w:t>」規定訂定之</w:t>
      </w:r>
      <w:r w:rsidR="00091ADD" w:rsidRPr="00F80BD5">
        <w:rPr>
          <w:rFonts w:ascii="標楷體" w:eastAsia="標楷體" w:hAnsi="標楷體" w:cs="Times New Roman"/>
          <w:szCs w:val="26"/>
        </w:rPr>
        <w:t>。</w:t>
      </w:r>
    </w:p>
    <w:p w14:paraId="3A110C4A" w14:textId="77777777" w:rsidR="00B65F12" w:rsidRPr="00F80BD5" w:rsidRDefault="00B65F12" w:rsidP="00B65F12">
      <w:pPr>
        <w:pStyle w:val="a7"/>
        <w:snapToGrid w:val="0"/>
        <w:ind w:leftChars="0" w:left="915"/>
        <w:rPr>
          <w:rFonts w:ascii="標楷體" w:eastAsia="標楷體" w:hAnsi="標楷體"/>
          <w:szCs w:val="26"/>
        </w:rPr>
      </w:pPr>
    </w:p>
    <w:p w14:paraId="3B114408" w14:textId="77777777" w:rsidR="00B65F12" w:rsidRPr="00F80BD5" w:rsidRDefault="008B4E22" w:rsidP="00190322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Cs w:val="26"/>
        </w:rPr>
      </w:pPr>
      <w:r w:rsidRPr="00F80BD5">
        <w:rPr>
          <w:rFonts w:ascii="Times New Roman" w:eastAsia="標楷體" w:hAnsi="Times New Roman" w:cs="Times New Roman"/>
          <w:szCs w:val="26"/>
        </w:rPr>
        <w:t>本校</w:t>
      </w:r>
      <w:r w:rsidRPr="00F80BD5">
        <w:rPr>
          <w:rFonts w:ascii="Times New Roman" w:eastAsia="標楷體" w:hAnsi="Times New Roman" w:cs="Times New Roman" w:hint="eastAsia"/>
          <w:szCs w:val="26"/>
        </w:rPr>
        <w:t>特殊教育</w:t>
      </w:r>
      <w:r w:rsidRPr="00F80BD5">
        <w:rPr>
          <w:rFonts w:ascii="Times New Roman" w:eastAsia="標楷體" w:hAnsi="Times New Roman" w:cs="Times New Roman"/>
          <w:szCs w:val="26"/>
        </w:rPr>
        <w:t>學生於</w:t>
      </w:r>
      <w:r w:rsidRPr="00F80BD5">
        <w:rPr>
          <w:rFonts w:ascii="Times New Roman" w:eastAsia="標楷體" w:hAnsi="Times New Roman" w:cs="Times New Roman" w:hint="eastAsia"/>
          <w:szCs w:val="26"/>
        </w:rPr>
        <w:t>其</w:t>
      </w:r>
      <w:r w:rsidRPr="00F80BD5">
        <w:rPr>
          <w:rFonts w:ascii="Times New Roman" w:eastAsia="標楷體" w:hAnsi="Times New Roman" w:cs="Times New Roman"/>
          <w:szCs w:val="26"/>
        </w:rPr>
        <w:t>必</w:t>
      </w:r>
      <w:r w:rsidR="00F80BD5" w:rsidRPr="00F80BD5">
        <w:rPr>
          <w:rFonts w:ascii="標楷體" w:eastAsia="標楷體" w:hAnsi="標楷體" w:cs="Times New Roman"/>
          <w:szCs w:val="26"/>
        </w:rPr>
        <w:t>(選)</w:t>
      </w:r>
      <w:r w:rsidRPr="00F80BD5">
        <w:rPr>
          <w:rFonts w:ascii="Times New Roman" w:eastAsia="標楷體" w:hAnsi="Times New Roman" w:cs="Times New Roman"/>
          <w:szCs w:val="26"/>
        </w:rPr>
        <w:t>修科目，因其障礙而導致的學習</w:t>
      </w:r>
      <w:r w:rsidRPr="00F80BD5">
        <w:rPr>
          <w:rFonts w:ascii="Times New Roman" w:eastAsia="標楷體" w:hAnsi="Times New Roman" w:cs="Times New Roman" w:hint="eastAsia"/>
          <w:szCs w:val="26"/>
        </w:rPr>
        <w:t>限制與困難，</w:t>
      </w:r>
      <w:r w:rsidR="00F80BD5" w:rsidRPr="00F80BD5">
        <w:rPr>
          <w:rFonts w:ascii="Times New Roman" w:eastAsia="標楷體" w:hAnsi="Times New Roman" w:cs="Times New Roman" w:hint="eastAsia"/>
          <w:szCs w:val="26"/>
        </w:rPr>
        <w:t>得依本辦法向</w:t>
      </w:r>
      <w:r w:rsidR="00091ADD" w:rsidRPr="00F80BD5">
        <w:rPr>
          <w:rFonts w:ascii="Times New Roman" w:eastAsia="標楷體" w:hAnsi="Times New Roman" w:cs="Times New Roman"/>
          <w:szCs w:val="26"/>
        </w:rPr>
        <w:t>資源教室</w:t>
      </w:r>
      <w:r w:rsidR="00F80BD5" w:rsidRPr="00F80BD5">
        <w:rPr>
          <w:rFonts w:ascii="Times New Roman" w:eastAsia="標楷體" w:hAnsi="Times New Roman" w:cs="Times New Roman" w:hint="eastAsia"/>
          <w:szCs w:val="26"/>
        </w:rPr>
        <w:t>申請</w:t>
      </w:r>
      <w:r w:rsidR="00091ADD" w:rsidRPr="00F80BD5">
        <w:rPr>
          <w:rFonts w:ascii="Times New Roman" w:eastAsia="標楷體" w:hAnsi="Times New Roman" w:cs="Times New Roman"/>
          <w:szCs w:val="26"/>
        </w:rPr>
        <w:t>課業輔導</w:t>
      </w:r>
      <w:r w:rsidRPr="00F80BD5">
        <w:rPr>
          <w:rFonts w:ascii="Times New Roman" w:eastAsia="標楷體" w:hAnsi="Times New Roman" w:cs="Times New Roman" w:hint="eastAsia"/>
          <w:szCs w:val="26"/>
        </w:rPr>
        <w:t>。</w:t>
      </w:r>
    </w:p>
    <w:p w14:paraId="206BB5E2" w14:textId="77777777" w:rsidR="00B65F12" w:rsidRPr="00F80BD5" w:rsidRDefault="00B65F12" w:rsidP="00B65F12">
      <w:pPr>
        <w:pStyle w:val="a7"/>
        <w:rPr>
          <w:rFonts w:ascii="Times New Roman" w:eastAsia="標楷體" w:hAnsi="Times New Roman" w:cs="Times New Roman"/>
          <w:szCs w:val="26"/>
        </w:rPr>
      </w:pPr>
    </w:p>
    <w:p w14:paraId="5F2D63CF" w14:textId="77777777" w:rsidR="00B65F12" w:rsidRPr="00F80BD5" w:rsidRDefault="00190322" w:rsidP="00190322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Cs w:val="26"/>
        </w:rPr>
      </w:pPr>
      <w:r w:rsidRPr="00F80BD5">
        <w:rPr>
          <w:rFonts w:ascii="Times New Roman" w:eastAsia="標楷體" w:hAnsi="Times New Roman" w:cs="Times New Roman"/>
          <w:szCs w:val="26"/>
        </w:rPr>
        <w:t>學生有課業輔導需求者，需填寫「課業輔導申請表」</w:t>
      </w:r>
      <w:r w:rsidRPr="00F80BD5">
        <w:rPr>
          <w:rFonts w:ascii="Times New Roman" w:eastAsia="標楷體" w:hAnsi="Times New Roman" w:cs="Times New Roman" w:hint="eastAsia"/>
          <w:szCs w:val="26"/>
        </w:rPr>
        <w:t>，</w:t>
      </w:r>
      <w:r w:rsidRPr="00F80BD5">
        <w:rPr>
          <w:rFonts w:ascii="Times New Roman" w:eastAsia="標楷體" w:hAnsi="Times New Roman" w:cs="Times New Roman"/>
          <w:szCs w:val="26"/>
        </w:rPr>
        <w:t>經</w:t>
      </w:r>
      <w:r w:rsidRPr="00F80BD5">
        <w:rPr>
          <w:rFonts w:ascii="Times New Roman" w:eastAsia="標楷體" w:hAnsi="Times New Roman" w:cs="Times New Roman" w:hint="eastAsia"/>
          <w:szCs w:val="26"/>
        </w:rPr>
        <w:t>資源教室會議</w:t>
      </w:r>
      <w:r w:rsidRPr="00F80BD5">
        <w:rPr>
          <w:rFonts w:ascii="Times New Roman" w:eastAsia="標楷體" w:hAnsi="Times New Roman" w:cs="Times New Roman"/>
          <w:szCs w:val="26"/>
        </w:rPr>
        <w:t>審</w:t>
      </w:r>
      <w:r w:rsidRPr="00F80BD5">
        <w:rPr>
          <w:rFonts w:ascii="Times New Roman" w:eastAsia="標楷體" w:hAnsi="Times New Roman" w:cs="Times New Roman" w:hint="eastAsia"/>
          <w:szCs w:val="26"/>
        </w:rPr>
        <w:t>核</w:t>
      </w:r>
      <w:r w:rsidR="00F80BD5" w:rsidRPr="00F80BD5">
        <w:rPr>
          <w:rFonts w:ascii="Times New Roman" w:eastAsia="標楷體" w:hAnsi="Times New Roman" w:cs="Times New Roman" w:hint="eastAsia"/>
          <w:szCs w:val="26"/>
        </w:rPr>
        <w:t>通過</w:t>
      </w:r>
      <w:r w:rsidRPr="00F80BD5">
        <w:rPr>
          <w:rFonts w:ascii="Times New Roman" w:eastAsia="標楷體" w:hAnsi="Times New Roman" w:cs="Times New Roman" w:hint="eastAsia"/>
          <w:szCs w:val="26"/>
        </w:rPr>
        <w:t>後</w:t>
      </w:r>
      <w:r w:rsidRPr="00F80BD5">
        <w:rPr>
          <w:rFonts w:ascii="Times New Roman" w:eastAsia="標楷體" w:hAnsi="Times New Roman" w:cs="Times New Roman"/>
          <w:szCs w:val="26"/>
        </w:rPr>
        <w:t>，</w:t>
      </w:r>
      <w:r w:rsidRPr="00F80BD5">
        <w:rPr>
          <w:rFonts w:ascii="Times New Roman" w:eastAsia="標楷體" w:hAnsi="Times New Roman" w:cs="Times New Roman" w:hint="eastAsia"/>
          <w:szCs w:val="26"/>
        </w:rPr>
        <w:t>由資源教室</w:t>
      </w:r>
      <w:r w:rsidR="00F80BD5" w:rsidRPr="00F80BD5">
        <w:rPr>
          <w:rFonts w:ascii="Times New Roman" w:eastAsia="標楷體" w:hAnsi="Times New Roman" w:cs="Times New Roman" w:hint="eastAsia"/>
          <w:szCs w:val="26"/>
        </w:rPr>
        <w:t>完成課業輔導</w:t>
      </w:r>
      <w:r w:rsidR="002A73FE">
        <w:rPr>
          <w:rFonts w:ascii="Times New Roman" w:eastAsia="標楷體" w:hAnsi="Times New Roman" w:cs="Times New Roman" w:hint="eastAsia"/>
          <w:szCs w:val="26"/>
        </w:rPr>
        <w:t>教師</w:t>
      </w:r>
      <w:r w:rsidRPr="00F80BD5">
        <w:rPr>
          <w:rFonts w:ascii="Times New Roman" w:eastAsia="標楷體" w:hAnsi="Times New Roman" w:cs="Times New Roman"/>
          <w:szCs w:val="26"/>
        </w:rPr>
        <w:t>聘任程序方可執行</w:t>
      </w:r>
      <w:r w:rsidRPr="00F80BD5">
        <w:rPr>
          <w:rFonts w:ascii="Times New Roman" w:eastAsia="標楷體" w:hAnsi="Times New Roman" w:cs="Times New Roman" w:hint="eastAsia"/>
          <w:szCs w:val="26"/>
        </w:rPr>
        <w:t>。</w:t>
      </w:r>
    </w:p>
    <w:p w14:paraId="6B5AEBB1" w14:textId="77777777" w:rsidR="00B65F12" w:rsidRPr="00F80BD5" w:rsidRDefault="00B65F12" w:rsidP="00B65F12">
      <w:pPr>
        <w:pStyle w:val="a7"/>
        <w:rPr>
          <w:rFonts w:ascii="Times New Roman" w:eastAsia="標楷體" w:hAnsi="Times New Roman" w:cs="Times New Roman"/>
          <w:szCs w:val="26"/>
        </w:rPr>
      </w:pPr>
    </w:p>
    <w:p w14:paraId="1A10C9EF" w14:textId="77777777" w:rsidR="00190322" w:rsidRPr="00F80BD5" w:rsidRDefault="00190322" w:rsidP="00190322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Cs w:val="26"/>
        </w:rPr>
      </w:pPr>
      <w:r w:rsidRPr="00F80BD5">
        <w:rPr>
          <w:rFonts w:ascii="Times New Roman" w:eastAsia="標楷體" w:hAnsi="Times New Roman" w:cs="Times New Roman" w:hint="eastAsia"/>
          <w:szCs w:val="26"/>
        </w:rPr>
        <w:t>課業輔導</w:t>
      </w:r>
      <w:r w:rsidRPr="00F80BD5">
        <w:rPr>
          <w:rFonts w:ascii="Times New Roman" w:eastAsia="標楷體" w:hAnsi="Times New Roman" w:cs="Times New Roman"/>
          <w:szCs w:val="26"/>
        </w:rPr>
        <w:t>審核標準</w:t>
      </w:r>
      <w:r w:rsidRPr="00F80BD5">
        <w:rPr>
          <w:rFonts w:ascii="Times New Roman" w:eastAsia="標楷體" w:hAnsi="Times New Roman" w:cs="Times New Roman" w:hint="eastAsia"/>
          <w:szCs w:val="26"/>
        </w:rPr>
        <w:t>如下：</w:t>
      </w:r>
    </w:p>
    <w:p w14:paraId="111F8735" w14:textId="77777777" w:rsidR="009D0E2A" w:rsidRPr="009D0E2A" w:rsidRDefault="009D0E2A" w:rsidP="009D0E2A">
      <w:pPr>
        <w:pStyle w:val="a7"/>
        <w:numPr>
          <w:ilvl w:val="0"/>
          <w:numId w:val="35"/>
        </w:numPr>
        <w:snapToGrid w:val="0"/>
        <w:ind w:leftChars="0" w:left="1418" w:hanging="567"/>
        <w:rPr>
          <w:rFonts w:ascii="標楷體" w:eastAsia="標楷體" w:hAnsi="標楷體" w:cs="Times New Roman"/>
          <w:szCs w:val="26"/>
        </w:rPr>
      </w:pPr>
      <w:r w:rsidRPr="009D0E2A">
        <w:rPr>
          <w:rFonts w:ascii="標楷體" w:eastAsia="標楷體" w:hAnsi="標楷體" w:cs="Times New Roman" w:hint="eastAsia"/>
          <w:szCs w:val="26"/>
        </w:rPr>
        <w:t>課業輔導科目應以學生畢業學分及畢業門檻之學習需求為優先</w:t>
      </w:r>
      <w:r>
        <w:rPr>
          <w:rFonts w:ascii="標楷體" w:eastAsia="標楷體" w:hAnsi="標楷體" w:cs="Times New Roman" w:hint="eastAsia"/>
          <w:szCs w:val="26"/>
        </w:rPr>
        <w:t>。</w:t>
      </w:r>
    </w:p>
    <w:p w14:paraId="0192A445" w14:textId="77777777" w:rsidR="00B65F12" w:rsidRPr="00F80BD5" w:rsidRDefault="00B65F12" w:rsidP="00B65F12">
      <w:pPr>
        <w:pStyle w:val="a7"/>
        <w:numPr>
          <w:ilvl w:val="0"/>
          <w:numId w:val="35"/>
        </w:numPr>
        <w:snapToGrid w:val="0"/>
        <w:ind w:leftChars="0" w:left="1418" w:hanging="567"/>
        <w:rPr>
          <w:rFonts w:ascii="標楷體" w:eastAsia="標楷體" w:hAnsi="標楷體" w:cs="Times New Roman"/>
          <w:szCs w:val="26"/>
        </w:rPr>
      </w:pPr>
      <w:r w:rsidRPr="00F80BD5">
        <w:rPr>
          <w:rFonts w:ascii="標楷體" w:eastAsia="標楷體" w:hAnsi="標楷體" w:cs="Times New Roman" w:hint="eastAsia"/>
          <w:szCs w:val="26"/>
        </w:rPr>
        <w:t>以</w:t>
      </w:r>
      <w:r w:rsidRPr="00F80BD5">
        <w:rPr>
          <w:rFonts w:ascii="標楷體" w:eastAsia="標楷體" w:hAnsi="標楷體" w:cs="Times New Roman"/>
          <w:szCs w:val="26"/>
        </w:rPr>
        <w:t>學生個別化支持計畫等相關資料</w:t>
      </w:r>
      <w:r w:rsidRPr="00F80BD5">
        <w:rPr>
          <w:rFonts w:ascii="標楷體" w:eastAsia="標楷體" w:hAnsi="標楷體" w:cs="Times New Roman" w:hint="eastAsia"/>
          <w:szCs w:val="26"/>
        </w:rPr>
        <w:t>作為</w:t>
      </w:r>
      <w:r w:rsidRPr="00F80BD5">
        <w:rPr>
          <w:rFonts w:ascii="標楷體" w:eastAsia="標楷體" w:hAnsi="標楷體" w:cs="Times New Roman"/>
          <w:szCs w:val="26"/>
        </w:rPr>
        <w:t>課業輔導</w:t>
      </w:r>
      <w:r w:rsidRPr="00F80BD5">
        <w:rPr>
          <w:rFonts w:ascii="標楷體" w:eastAsia="標楷體" w:hAnsi="標楷體" w:cs="Times New Roman" w:hint="eastAsia"/>
          <w:szCs w:val="26"/>
        </w:rPr>
        <w:t>申請審核評估之依據</w:t>
      </w:r>
      <w:r w:rsidRPr="00F80BD5">
        <w:rPr>
          <w:rFonts w:ascii="標楷體" w:eastAsia="標楷體" w:hAnsi="標楷體" w:cs="Times New Roman"/>
          <w:szCs w:val="26"/>
        </w:rPr>
        <w:t>。</w:t>
      </w:r>
    </w:p>
    <w:p w14:paraId="71B49E64" w14:textId="77777777" w:rsidR="00B65F12" w:rsidRPr="00F80BD5" w:rsidRDefault="00B65F12" w:rsidP="00B65F12">
      <w:pPr>
        <w:pStyle w:val="a7"/>
        <w:numPr>
          <w:ilvl w:val="0"/>
          <w:numId w:val="35"/>
        </w:numPr>
        <w:snapToGrid w:val="0"/>
        <w:ind w:leftChars="0" w:left="1418" w:hanging="567"/>
        <w:rPr>
          <w:rFonts w:ascii="標楷體" w:eastAsia="標楷體" w:hAnsi="標楷體" w:cs="Times New Roman"/>
          <w:szCs w:val="26"/>
        </w:rPr>
      </w:pPr>
      <w:r w:rsidRPr="00F80BD5">
        <w:rPr>
          <w:rFonts w:ascii="標楷體" w:eastAsia="標楷體" w:hAnsi="標楷體" w:cs="Times New Roman"/>
          <w:szCs w:val="26"/>
        </w:rPr>
        <w:t>基於合理排課及學生課業負荷，學生接受課業輔導時間，不宜超過每週 6 小時、每月 24 小時</w:t>
      </w:r>
      <w:r w:rsidRPr="00F80BD5">
        <w:rPr>
          <w:rFonts w:ascii="標楷體" w:eastAsia="標楷體" w:hAnsi="標楷體" w:cs="Times New Roman" w:hint="eastAsia"/>
          <w:szCs w:val="26"/>
        </w:rPr>
        <w:t>，如有特殊情況須經資源教室會議審查，同意後方可執行。</w:t>
      </w:r>
    </w:p>
    <w:p w14:paraId="392D4C6E" w14:textId="77777777" w:rsidR="00B65F12" w:rsidRPr="00F80BD5" w:rsidRDefault="00B65F12" w:rsidP="00B65F12">
      <w:pPr>
        <w:pStyle w:val="a7"/>
        <w:numPr>
          <w:ilvl w:val="0"/>
          <w:numId w:val="35"/>
        </w:numPr>
        <w:snapToGrid w:val="0"/>
        <w:ind w:leftChars="0" w:left="1418" w:hanging="567"/>
        <w:rPr>
          <w:rFonts w:ascii="標楷體" w:eastAsia="標楷體" w:hAnsi="標楷體" w:cs="Times New Roman"/>
          <w:szCs w:val="26"/>
        </w:rPr>
      </w:pPr>
      <w:r w:rsidRPr="00F80BD5">
        <w:rPr>
          <w:rFonts w:ascii="標楷體" w:eastAsia="標楷體" w:hAnsi="標楷體" w:cs="Times New Roman" w:hint="eastAsia"/>
          <w:szCs w:val="26"/>
        </w:rPr>
        <w:t>執行期間產生預算不足額時，將</w:t>
      </w:r>
      <w:r w:rsidR="00F80BD5" w:rsidRPr="00F80BD5">
        <w:rPr>
          <w:rFonts w:ascii="標楷體" w:eastAsia="標楷體" w:hAnsi="標楷體" w:cs="Times New Roman" w:hint="eastAsia"/>
          <w:szCs w:val="26"/>
        </w:rPr>
        <w:t>依</w:t>
      </w:r>
      <w:r w:rsidRPr="00F80BD5">
        <w:rPr>
          <w:rFonts w:ascii="標楷體" w:eastAsia="標楷體" w:hAnsi="標楷體" w:cs="Times New Roman" w:hint="eastAsia"/>
          <w:szCs w:val="26"/>
        </w:rPr>
        <w:t>學生個別化需求進行檢視與時數分配。</w:t>
      </w:r>
    </w:p>
    <w:p w14:paraId="19D9DEC5" w14:textId="77777777" w:rsidR="00B65F12" w:rsidRPr="00F80BD5" w:rsidRDefault="00B65F12" w:rsidP="00B65F12">
      <w:pPr>
        <w:pStyle w:val="a7"/>
        <w:numPr>
          <w:ilvl w:val="0"/>
          <w:numId w:val="35"/>
        </w:numPr>
        <w:snapToGrid w:val="0"/>
        <w:ind w:leftChars="0" w:left="1418" w:hanging="567"/>
        <w:rPr>
          <w:rFonts w:ascii="標楷體" w:eastAsia="標楷體" w:hAnsi="標楷體" w:cs="Times New Roman"/>
          <w:szCs w:val="26"/>
        </w:rPr>
      </w:pPr>
      <w:r w:rsidRPr="00F80BD5">
        <w:rPr>
          <w:rFonts w:ascii="標楷體" w:eastAsia="標楷體" w:hAnsi="標楷體" w:cs="Times New Roman"/>
          <w:szCs w:val="26"/>
        </w:rPr>
        <w:t>針對不同學生申請相同科目之課業輔導，將以共同開課為優先原則</w:t>
      </w:r>
      <w:r w:rsidRPr="00F80BD5">
        <w:rPr>
          <w:rFonts w:ascii="標楷體" w:eastAsia="標楷體" w:hAnsi="標楷體" w:cs="Times New Roman" w:hint="eastAsia"/>
          <w:szCs w:val="26"/>
        </w:rPr>
        <w:t>，惟應考量學生</w:t>
      </w:r>
      <w:r w:rsidRPr="00F80BD5">
        <w:rPr>
          <w:rFonts w:ascii="標楷體" w:eastAsia="標楷體" w:hAnsi="標楷體" w:cs="Times New Roman"/>
          <w:szCs w:val="26"/>
        </w:rPr>
        <w:t>個別差異及需</w:t>
      </w:r>
      <w:r w:rsidRPr="00F80BD5">
        <w:rPr>
          <w:rFonts w:ascii="標楷體" w:eastAsia="標楷體" w:hAnsi="標楷體" w:cs="Times New Roman" w:hint="eastAsia"/>
          <w:szCs w:val="26"/>
        </w:rPr>
        <w:t>求</w:t>
      </w:r>
      <w:r w:rsidR="00F80BD5">
        <w:rPr>
          <w:rFonts w:ascii="標楷體" w:eastAsia="標楷體" w:hAnsi="標楷體" w:cs="Times New Roman" w:hint="eastAsia"/>
          <w:szCs w:val="26"/>
        </w:rPr>
        <w:t>，評估執行方式</w:t>
      </w:r>
      <w:r w:rsidRPr="00F80BD5">
        <w:rPr>
          <w:rFonts w:ascii="標楷體" w:eastAsia="標楷體" w:hAnsi="標楷體" w:cs="Times New Roman"/>
          <w:szCs w:val="26"/>
        </w:rPr>
        <w:t>。</w:t>
      </w:r>
    </w:p>
    <w:p w14:paraId="5643F7FE" w14:textId="77777777" w:rsidR="00B65F12" w:rsidRPr="00F80BD5" w:rsidRDefault="00B65F12" w:rsidP="00B65F12">
      <w:pPr>
        <w:pStyle w:val="a7"/>
        <w:rPr>
          <w:rFonts w:ascii="標楷體" w:eastAsia="標楷體" w:hAnsi="標楷體"/>
          <w:szCs w:val="26"/>
        </w:rPr>
      </w:pPr>
    </w:p>
    <w:p w14:paraId="088DAF9B" w14:textId="77777777" w:rsidR="00B65F12" w:rsidRPr="00F80BD5" w:rsidRDefault="00B65F12" w:rsidP="00190322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Cs w:val="26"/>
        </w:rPr>
      </w:pPr>
      <w:r w:rsidRPr="00F80BD5">
        <w:rPr>
          <w:rFonts w:ascii="Times New Roman" w:eastAsia="標楷體" w:hAnsi="Times New Roman" w:cs="Times New Roman" w:hint="eastAsia"/>
          <w:szCs w:val="26"/>
        </w:rPr>
        <w:t>課業輔導</w:t>
      </w:r>
      <w:r w:rsidR="00F80BD5">
        <w:rPr>
          <w:rFonts w:ascii="Times New Roman" w:eastAsia="標楷體" w:hAnsi="Times New Roman" w:cs="Times New Roman" w:hint="eastAsia"/>
          <w:szCs w:val="26"/>
        </w:rPr>
        <w:t>教</w:t>
      </w:r>
      <w:r w:rsidRPr="00F80BD5">
        <w:rPr>
          <w:rFonts w:ascii="Times New Roman" w:eastAsia="標楷體" w:hAnsi="Times New Roman" w:cs="Times New Roman" w:hint="eastAsia"/>
          <w:szCs w:val="26"/>
        </w:rPr>
        <w:t>師及學生應確實依該學期資源教室核定時數執行課業輔導，並配合</w:t>
      </w:r>
      <w:r w:rsidRPr="00F80BD5">
        <w:rPr>
          <w:rFonts w:ascii="Times New Roman" w:eastAsia="標楷體" w:hAnsi="Times New Roman" w:cs="Times New Roman"/>
          <w:szCs w:val="26"/>
        </w:rPr>
        <w:t>資源教室輔導人員不定期</w:t>
      </w:r>
      <w:r w:rsidRPr="00F80BD5">
        <w:rPr>
          <w:rFonts w:ascii="Times New Roman" w:eastAsia="標楷體" w:hAnsi="Times New Roman" w:cs="Times New Roman" w:hint="eastAsia"/>
          <w:szCs w:val="26"/>
        </w:rPr>
        <w:t>追蹤及訪談</w:t>
      </w:r>
      <w:r w:rsidRPr="00F80BD5">
        <w:rPr>
          <w:rFonts w:ascii="Times New Roman" w:eastAsia="標楷體" w:hAnsi="Times New Roman" w:cs="Times New Roman"/>
          <w:szCs w:val="26"/>
        </w:rPr>
        <w:t>，</w:t>
      </w:r>
      <w:r w:rsidRPr="00F80BD5">
        <w:rPr>
          <w:rFonts w:ascii="Times New Roman" w:eastAsia="標楷體" w:hAnsi="Times New Roman" w:cs="Times New Roman" w:hint="eastAsia"/>
          <w:szCs w:val="26"/>
        </w:rPr>
        <w:t>若任一方因故無法依約定執行時，應主動回報資源教室重新評估服務需求與執行方式。</w:t>
      </w:r>
    </w:p>
    <w:p w14:paraId="3E96891A" w14:textId="77777777" w:rsidR="00B65F12" w:rsidRPr="00F80BD5" w:rsidRDefault="00B65F12" w:rsidP="00B65F12">
      <w:pPr>
        <w:pStyle w:val="a7"/>
        <w:snapToGrid w:val="0"/>
        <w:ind w:leftChars="0" w:left="915"/>
        <w:rPr>
          <w:rFonts w:ascii="標楷體" w:eastAsia="標楷體" w:hAnsi="標楷體"/>
          <w:szCs w:val="26"/>
        </w:rPr>
      </w:pPr>
    </w:p>
    <w:p w14:paraId="7C571803" w14:textId="4FDFD2EB" w:rsidR="00E818B8" w:rsidRPr="00E818B8" w:rsidRDefault="00F80BD5" w:rsidP="00E818B8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>課業輔導</w:t>
      </w:r>
      <w:r w:rsidR="00190322" w:rsidRPr="00F80BD5">
        <w:rPr>
          <w:rFonts w:ascii="Times New Roman" w:eastAsia="標楷體" w:hAnsi="Times New Roman" w:cs="Times New Roman"/>
          <w:szCs w:val="26"/>
        </w:rPr>
        <w:t>鐘點費由</w:t>
      </w:r>
      <w:r w:rsidR="00190322" w:rsidRPr="00F80BD5">
        <w:rPr>
          <w:rFonts w:ascii="Times New Roman" w:eastAsia="標楷體" w:hAnsi="Times New Roman" w:cs="Times New Roman" w:hint="eastAsia"/>
          <w:szCs w:val="26"/>
        </w:rPr>
        <w:t>「</w:t>
      </w:r>
      <w:r w:rsidR="00190322" w:rsidRPr="00F80BD5">
        <w:rPr>
          <w:rFonts w:ascii="Times New Roman" w:eastAsia="標楷體" w:hAnsi="Times New Roman" w:cs="Times New Roman"/>
          <w:szCs w:val="26"/>
        </w:rPr>
        <w:t>教育部補助大專校院</w:t>
      </w:r>
      <w:r w:rsidR="00190322" w:rsidRPr="00F80BD5">
        <w:rPr>
          <w:rFonts w:ascii="Times New Roman" w:eastAsia="標楷體" w:hAnsi="Times New Roman" w:cs="Times New Roman" w:hint="eastAsia"/>
          <w:szCs w:val="26"/>
        </w:rPr>
        <w:t>招收與</w:t>
      </w:r>
      <w:r w:rsidR="00190322" w:rsidRPr="00F80BD5">
        <w:rPr>
          <w:rFonts w:ascii="Times New Roman" w:eastAsia="標楷體" w:hAnsi="Times New Roman" w:cs="Times New Roman"/>
          <w:szCs w:val="26"/>
        </w:rPr>
        <w:t>輔導身心障礙學生工作計畫經費</w:t>
      </w:r>
      <w:r w:rsidR="00190322" w:rsidRPr="00F80BD5">
        <w:rPr>
          <w:rFonts w:ascii="Times New Roman" w:eastAsia="標楷體" w:hAnsi="Times New Roman" w:cs="Times New Roman" w:hint="eastAsia"/>
          <w:szCs w:val="26"/>
        </w:rPr>
        <w:t>-</w:t>
      </w:r>
      <w:r w:rsidR="00190322" w:rsidRPr="00F80BD5">
        <w:rPr>
          <w:rFonts w:ascii="Times New Roman" w:eastAsia="標楷體" w:hAnsi="Times New Roman" w:cs="Times New Roman" w:hint="eastAsia"/>
          <w:szCs w:val="26"/>
        </w:rPr>
        <w:t>課業輔導加強費」項下</w:t>
      </w:r>
      <w:r w:rsidR="00190322" w:rsidRPr="00F80BD5">
        <w:rPr>
          <w:rFonts w:ascii="Times New Roman" w:eastAsia="標楷體" w:hAnsi="Times New Roman" w:cs="Times New Roman"/>
          <w:szCs w:val="26"/>
        </w:rPr>
        <w:t>支應</w:t>
      </w:r>
      <w:r>
        <w:rPr>
          <w:rFonts w:ascii="Times New Roman" w:eastAsia="標楷體" w:hAnsi="Times New Roman" w:cs="Times New Roman" w:hint="eastAsia"/>
          <w:szCs w:val="26"/>
        </w:rPr>
        <w:t>，</w:t>
      </w:r>
      <w:r w:rsidR="00190322" w:rsidRPr="00F80BD5">
        <w:rPr>
          <w:rFonts w:ascii="Times New Roman" w:eastAsia="標楷體" w:hAnsi="Times New Roman" w:cs="Times New Roman" w:hint="eastAsia"/>
          <w:szCs w:val="26"/>
        </w:rPr>
        <w:t>支給標準表</w:t>
      </w:r>
      <w:r w:rsidR="002A73FE">
        <w:rPr>
          <w:rFonts w:ascii="Times New Roman" w:eastAsia="標楷體" w:hAnsi="Times New Roman" w:cs="Times New Roman" w:hint="eastAsia"/>
          <w:szCs w:val="26"/>
        </w:rPr>
        <w:t>（單位：新台幣）</w:t>
      </w:r>
      <w:r w:rsidR="00190322" w:rsidRPr="00F80BD5">
        <w:rPr>
          <w:rFonts w:ascii="Times New Roman" w:eastAsia="標楷體" w:hAnsi="Times New Roman" w:cs="Times New Roman" w:hint="eastAsia"/>
          <w:szCs w:val="26"/>
        </w:rPr>
        <w:t>如下：</w:t>
      </w:r>
    </w:p>
    <w:tbl>
      <w:tblPr>
        <w:tblStyle w:val="a8"/>
        <w:tblpPr w:leftFromText="180" w:rightFromText="180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1271"/>
        <w:gridCol w:w="1039"/>
        <w:gridCol w:w="1040"/>
        <w:gridCol w:w="1039"/>
        <w:gridCol w:w="1040"/>
        <w:gridCol w:w="1039"/>
        <w:gridCol w:w="1040"/>
        <w:gridCol w:w="1276"/>
      </w:tblGrid>
      <w:tr w:rsidR="00B65F12" w:rsidRPr="00F80BD5" w14:paraId="10D95755" w14:textId="77777777" w:rsidTr="00E818B8">
        <w:trPr>
          <w:trHeight w:val="719"/>
        </w:trPr>
        <w:tc>
          <w:tcPr>
            <w:tcW w:w="1271" w:type="dxa"/>
            <w:vAlign w:val="center"/>
          </w:tcPr>
          <w:p w14:paraId="6A92F98D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類別</w:t>
            </w:r>
          </w:p>
        </w:tc>
        <w:tc>
          <w:tcPr>
            <w:tcW w:w="1039" w:type="dxa"/>
            <w:vAlign w:val="center"/>
          </w:tcPr>
          <w:p w14:paraId="237C8E09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教授</w:t>
            </w:r>
          </w:p>
        </w:tc>
        <w:tc>
          <w:tcPr>
            <w:tcW w:w="1040" w:type="dxa"/>
            <w:vAlign w:val="center"/>
          </w:tcPr>
          <w:p w14:paraId="7C61B3C0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副教授</w:t>
            </w:r>
          </w:p>
        </w:tc>
        <w:tc>
          <w:tcPr>
            <w:tcW w:w="1039" w:type="dxa"/>
            <w:vAlign w:val="center"/>
          </w:tcPr>
          <w:p w14:paraId="4388D940" w14:textId="77777777" w:rsidR="00E818B8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助理</w:t>
            </w:r>
          </w:p>
          <w:p w14:paraId="4B39CDB4" w14:textId="58AB6D31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教授</w:t>
            </w:r>
          </w:p>
        </w:tc>
        <w:tc>
          <w:tcPr>
            <w:tcW w:w="1040" w:type="dxa"/>
            <w:vAlign w:val="center"/>
          </w:tcPr>
          <w:p w14:paraId="03953D19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講師</w:t>
            </w:r>
          </w:p>
        </w:tc>
        <w:tc>
          <w:tcPr>
            <w:tcW w:w="1039" w:type="dxa"/>
            <w:vAlign w:val="center"/>
          </w:tcPr>
          <w:p w14:paraId="0F559F3C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碩士</w:t>
            </w:r>
            <w:r w:rsidRPr="00F80BD5">
              <w:rPr>
                <w:rFonts w:ascii="標楷體" w:eastAsia="標楷體" w:hAnsi="標楷體" w:cs="Times New Roman"/>
                <w:szCs w:val="26"/>
              </w:rPr>
              <w:br/>
            </w:r>
            <w:r w:rsidRPr="00F80BD5">
              <w:rPr>
                <w:rFonts w:ascii="標楷體" w:eastAsia="標楷體" w:hAnsi="標楷體" w:cs="Times New Roman" w:hint="eastAsia"/>
                <w:szCs w:val="26"/>
              </w:rPr>
              <w:t>畢業</w:t>
            </w:r>
          </w:p>
        </w:tc>
        <w:tc>
          <w:tcPr>
            <w:tcW w:w="1040" w:type="dxa"/>
            <w:vAlign w:val="center"/>
          </w:tcPr>
          <w:p w14:paraId="62CA6848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學士</w:t>
            </w:r>
            <w:r w:rsidRPr="00F80BD5">
              <w:rPr>
                <w:rFonts w:ascii="標楷體" w:eastAsia="標楷體" w:hAnsi="標楷體" w:cs="Times New Roman"/>
                <w:szCs w:val="26"/>
              </w:rPr>
              <w:br/>
            </w:r>
            <w:r w:rsidRPr="00F80BD5">
              <w:rPr>
                <w:rFonts w:ascii="標楷體" w:eastAsia="標楷體" w:hAnsi="標楷體" w:cs="Times New Roman" w:hint="eastAsia"/>
                <w:szCs w:val="26"/>
              </w:rPr>
              <w:t>畢業</w:t>
            </w:r>
          </w:p>
        </w:tc>
        <w:tc>
          <w:tcPr>
            <w:tcW w:w="1276" w:type="dxa"/>
            <w:vAlign w:val="center"/>
          </w:tcPr>
          <w:p w14:paraId="0A0F87CC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cs="Times New Roman" w:hint="eastAsia"/>
                <w:szCs w:val="26"/>
              </w:rPr>
              <w:t>大學在學學生</w:t>
            </w:r>
          </w:p>
        </w:tc>
      </w:tr>
      <w:tr w:rsidR="00B65F12" w:rsidRPr="00F80BD5" w14:paraId="536060DC" w14:textId="77777777" w:rsidTr="00E818B8">
        <w:trPr>
          <w:trHeight w:val="719"/>
        </w:trPr>
        <w:tc>
          <w:tcPr>
            <w:tcW w:w="1271" w:type="dxa"/>
            <w:vAlign w:val="center"/>
          </w:tcPr>
          <w:p w14:paraId="7CF81085" w14:textId="7777777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hint="eastAsia"/>
                <w:szCs w:val="26"/>
              </w:rPr>
              <w:t>支給基準</w:t>
            </w:r>
          </w:p>
        </w:tc>
        <w:tc>
          <w:tcPr>
            <w:tcW w:w="1039" w:type="dxa"/>
            <w:vAlign w:val="center"/>
          </w:tcPr>
          <w:p w14:paraId="539ECACE" w14:textId="55842757" w:rsidR="00B65F12" w:rsidRPr="00F80BD5" w:rsidRDefault="00E818B8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1070</w:t>
            </w:r>
            <w:r w:rsidR="00B65F12" w:rsidRPr="00F80BD5">
              <w:rPr>
                <w:rFonts w:ascii="標楷體" w:eastAsia="標楷體" w:hAnsi="標楷體" w:hint="eastAsia"/>
                <w:szCs w:val="26"/>
              </w:rPr>
              <w:t>元</w:t>
            </w:r>
          </w:p>
        </w:tc>
        <w:tc>
          <w:tcPr>
            <w:tcW w:w="1040" w:type="dxa"/>
            <w:vAlign w:val="center"/>
          </w:tcPr>
          <w:p w14:paraId="0DD730DB" w14:textId="610D0C71" w:rsidR="00B65F12" w:rsidRPr="00F80BD5" w:rsidRDefault="00E818B8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920</w:t>
            </w:r>
            <w:r w:rsidR="00B65F12" w:rsidRPr="00F80BD5">
              <w:rPr>
                <w:rFonts w:ascii="標楷體" w:eastAsia="標楷體" w:hAnsi="標楷體" w:hint="eastAsia"/>
                <w:szCs w:val="26"/>
              </w:rPr>
              <w:t>元</w:t>
            </w:r>
          </w:p>
        </w:tc>
        <w:tc>
          <w:tcPr>
            <w:tcW w:w="1039" w:type="dxa"/>
            <w:vAlign w:val="center"/>
          </w:tcPr>
          <w:p w14:paraId="137A0A3E" w14:textId="70618C04" w:rsidR="00B65F12" w:rsidRPr="00F80BD5" w:rsidRDefault="00E818B8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85</w:t>
            </w:r>
            <w:r w:rsidR="00B65F12" w:rsidRPr="00F80BD5">
              <w:rPr>
                <w:rFonts w:ascii="標楷體" w:eastAsia="標楷體" w:hAnsi="標楷體" w:hint="eastAsia"/>
                <w:szCs w:val="26"/>
              </w:rPr>
              <w:t>5元</w:t>
            </w:r>
          </w:p>
        </w:tc>
        <w:tc>
          <w:tcPr>
            <w:tcW w:w="1040" w:type="dxa"/>
            <w:vAlign w:val="center"/>
          </w:tcPr>
          <w:p w14:paraId="4BE7A757" w14:textId="4CE168C7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hint="eastAsia"/>
                <w:szCs w:val="26"/>
              </w:rPr>
              <w:t>7</w:t>
            </w:r>
            <w:r w:rsidR="00E818B8">
              <w:rPr>
                <w:rFonts w:ascii="標楷體" w:eastAsia="標楷體" w:hAnsi="標楷體" w:hint="eastAsia"/>
                <w:szCs w:val="26"/>
              </w:rPr>
              <w:t>80</w:t>
            </w:r>
            <w:r w:rsidRPr="00F80BD5">
              <w:rPr>
                <w:rFonts w:ascii="標楷體" w:eastAsia="標楷體" w:hAnsi="標楷體" w:hint="eastAsia"/>
                <w:szCs w:val="26"/>
              </w:rPr>
              <w:t>元</w:t>
            </w:r>
          </w:p>
        </w:tc>
        <w:tc>
          <w:tcPr>
            <w:tcW w:w="1039" w:type="dxa"/>
            <w:vAlign w:val="center"/>
          </w:tcPr>
          <w:p w14:paraId="110BA500" w14:textId="2C140296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hint="eastAsia"/>
                <w:szCs w:val="26"/>
              </w:rPr>
              <w:t>6</w:t>
            </w:r>
            <w:r w:rsidR="00E818B8">
              <w:rPr>
                <w:rFonts w:ascii="標楷體" w:eastAsia="標楷體" w:hAnsi="標楷體" w:hint="eastAsia"/>
                <w:szCs w:val="26"/>
              </w:rPr>
              <w:t>45</w:t>
            </w:r>
            <w:r w:rsidRPr="00F80BD5">
              <w:rPr>
                <w:rFonts w:ascii="標楷體" w:eastAsia="標楷體" w:hAnsi="標楷體" w:hint="eastAsia"/>
                <w:szCs w:val="26"/>
              </w:rPr>
              <w:t>元</w:t>
            </w:r>
          </w:p>
        </w:tc>
        <w:tc>
          <w:tcPr>
            <w:tcW w:w="1040" w:type="dxa"/>
            <w:vAlign w:val="center"/>
          </w:tcPr>
          <w:p w14:paraId="06C5B62A" w14:textId="14FE1FE6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hint="eastAsia"/>
                <w:szCs w:val="26"/>
              </w:rPr>
              <w:t>4</w:t>
            </w:r>
            <w:r w:rsidR="00E818B8">
              <w:rPr>
                <w:rFonts w:ascii="標楷體" w:eastAsia="標楷體" w:hAnsi="標楷體" w:hint="eastAsia"/>
                <w:szCs w:val="26"/>
              </w:rPr>
              <w:t>8</w:t>
            </w:r>
            <w:r w:rsidRPr="00F80BD5">
              <w:rPr>
                <w:rFonts w:ascii="標楷體" w:eastAsia="標楷體" w:hAnsi="標楷體" w:hint="eastAsia"/>
                <w:szCs w:val="26"/>
              </w:rPr>
              <w:t>5元</w:t>
            </w:r>
          </w:p>
        </w:tc>
        <w:tc>
          <w:tcPr>
            <w:tcW w:w="1276" w:type="dxa"/>
            <w:vAlign w:val="center"/>
          </w:tcPr>
          <w:p w14:paraId="69EA0F78" w14:textId="35AE3290" w:rsidR="00B65F12" w:rsidRPr="00F80BD5" w:rsidRDefault="00B65F12" w:rsidP="00B65F12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6"/>
              </w:rPr>
            </w:pPr>
            <w:r w:rsidRPr="00F80BD5">
              <w:rPr>
                <w:rFonts w:ascii="標楷體" w:eastAsia="標楷體" w:hAnsi="標楷體" w:hint="eastAsia"/>
                <w:szCs w:val="26"/>
              </w:rPr>
              <w:t>3</w:t>
            </w:r>
            <w:r w:rsidR="00E818B8">
              <w:rPr>
                <w:rFonts w:ascii="標楷體" w:eastAsia="標楷體" w:hAnsi="標楷體" w:hint="eastAsia"/>
                <w:szCs w:val="26"/>
              </w:rPr>
              <w:t>8</w:t>
            </w:r>
            <w:r w:rsidRPr="00F80BD5">
              <w:rPr>
                <w:rFonts w:ascii="標楷體" w:eastAsia="標楷體" w:hAnsi="標楷體" w:hint="eastAsia"/>
                <w:szCs w:val="26"/>
              </w:rPr>
              <w:t>0元</w:t>
            </w:r>
          </w:p>
        </w:tc>
      </w:tr>
    </w:tbl>
    <w:p w14:paraId="3370B1D6" w14:textId="77777777" w:rsidR="00B65F12" w:rsidRPr="00F80BD5" w:rsidRDefault="00B65F12" w:rsidP="00B65F12">
      <w:pPr>
        <w:pStyle w:val="a7"/>
        <w:rPr>
          <w:rFonts w:ascii="標楷體" w:eastAsia="標楷體" w:hAnsi="標楷體"/>
          <w:szCs w:val="26"/>
        </w:rPr>
      </w:pPr>
    </w:p>
    <w:p w14:paraId="05633763" w14:textId="77777777" w:rsidR="00B65F12" w:rsidRPr="00F80BD5" w:rsidRDefault="00B65F12" w:rsidP="00B65F12">
      <w:pPr>
        <w:pStyle w:val="a7"/>
        <w:snapToGrid w:val="0"/>
        <w:ind w:leftChars="0" w:left="915"/>
        <w:rPr>
          <w:rFonts w:ascii="標楷體" w:eastAsia="標楷體" w:hAnsi="標楷體"/>
          <w:szCs w:val="26"/>
        </w:rPr>
      </w:pPr>
    </w:p>
    <w:p w14:paraId="4A507FDF" w14:textId="77777777" w:rsidR="00E857D9" w:rsidRPr="00B65F12" w:rsidRDefault="00B65F12" w:rsidP="00190322">
      <w:pPr>
        <w:pStyle w:val="a7"/>
        <w:numPr>
          <w:ilvl w:val="0"/>
          <w:numId w:val="33"/>
        </w:numPr>
        <w:snapToGrid w:val="0"/>
        <w:ind w:leftChars="0"/>
        <w:rPr>
          <w:rFonts w:ascii="標楷體" w:eastAsia="標楷體" w:hAnsi="標楷體"/>
          <w:sz w:val="26"/>
          <w:szCs w:val="26"/>
        </w:rPr>
      </w:pPr>
      <w:r w:rsidRPr="00F80BD5">
        <w:rPr>
          <w:rFonts w:ascii="Times New Roman" w:eastAsia="標楷體" w:hAnsi="Times New Roman" w:cs="Times New Roman"/>
          <w:szCs w:val="26"/>
        </w:rPr>
        <w:t>本辦法經</w:t>
      </w:r>
      <w:r w:rsidRPr="00F80BD5">
        <w:rPr>
          <w:rFonts w:ascii="Times New Roman" w:eastAsia="標楷體" w:hAnsi="Times New Roman" w:cs="Times New Roman" w:hint="eastAsia"/>
          <w:szCs w:val="26"/>
        </w:rPr>
        <w:t>特殊教育推行委員會會議</w:t>
      </w:r>
      <w:r w:rsidRPr="00F80BD5">
        <w:rPr>
          <w:rFonts w:ascii="Times New Roman" w:eastAsia="標楷體" w:hAnsi="Times New Roman" w:cs="Times New Roman"/>
          <w:szCs w:val="26"/>
        </w:rPr>
        <w:t>通過後實施，修正時亦同。</w:t>
      </w:r>
    </w:p>
    <w:sectPr w:rsidR="00E857D9" w:rsidRPr="00B65F12" w:rsidSect="00196070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7B42" w14:textId="77777777" w:rsidR="00DA4ECE" w:rsidRDefault="00DA4ECE" w:rsidP="00091ADD">
      <w:r>
        <w:separator/>
      </w:r>
    </w:p>
  </w:endnote>
  <w:endnote w:type="continuationSeparator" w:id="0">
    <w:p w14:paraId="7CE97475" w14:textId="77777777" w:rsidR="00DA4ECE" w:rsidRDefault="00DA4ECE" w:rsidP="0009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C442" w14:textId="77777777" w:rsidR="00DA4ECE" w:rsidRDefault="00DA4ECE" w:rsidP="00091ADD">
      <w:r>
        <w:separator/>
      </w:r>
    </w:p>
  </w:footnote>
  <w:footnote w:type="continuationSeparator" w:id="0">
    <w:p w14:paraId="2BDFFA3A" w14:textId="77777777" w:rsidR="00DA4ECE" w:rsidRDefault="00DA4ECE" w:rsidP="0009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9F7"/>
    <w:multiLevelType w:val="hybridMultilevel"/>
    <w:tmpl w:val="3AD4557C"/>
    <w:lvl w:ilvl="0" w:tplc="0B5C2C3A">
      <w:start w:val="1"/>
      <w:numFmt w:val="decimal"/>
      <w:suff w:val="nothing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75E610E"/>
    <w:multiLevelType w:val="hybridMultilevel"/>
    <w:tmpl w:val="903852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572EC3"/>
    <w:multiLevelType w:val="hybridMultilevel"/>
    <w:tmpl w:val="696818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9123E7"/>
    <w:multiLevelType w:val="hybridMultilevel"/>
    <w:tmpl w:val="903852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E43549F"/>
    <w:multiLevelType w:val="hybridMultilevel"/>
    <w:tmpl w:val="7DEC68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EFE628F"/>
    <w:multiLevelType w:val="hybridMultilevel"/>
    <w:tmpl w:val="86109694"/>
    <w:lvl w:ilvl="0" w:tplc="02DCFCC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9E546E"/>
    <w:multiLevelType w:val="hybridMultilevel"/>
    <w:tmpl w:val="89AC0D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4F35A82"/>
    <w:multiLevelType w:val="hybridMultilevel"/>
    <w:tmpl w:val="D72E9388"/>
    <w:lvl w:ilvl="0" w:tplc="46663E0A">
      <w:start w:val="1"/>
      <w:numFmt w:val="decimal"/>
      <w:lvlText w:val="(%1)"/>
      <w:lvlJc w:val="righ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15D00BFB"/>
    <w:multiLevelType w:val="hybridMultilevel"/>
    <w:tmpl w:val="A2344C00"/>
    <w:lvl w:ilvl="0" w:tplc="F35800E6">
      <w:start w:val="1"/>
      <w:numFmt w:val="taiwaneseCountingThousand"/>
      <w:lvlText w:val="%1、"/>
      <w:lvlJc w:val="left"/>
      <w:pPr>
        <w:ind w:left="2324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9C1A83"/>
    <w:multiLevelType w:val="hybridMultilevel"/>
    <w:tmpl w:val="46EE683E"/>
    <w:lvl w:ilvl="0" w:tplc="8EB090E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AA44569"/>
    <w:multiLevelType w:val="hybridMultilevel"/>
    <w:tmpl w:val="009CB30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 w15:restartNumberingAfterBreak="0">
    <w:nsid w:val="22782114"/>
    <w:multiLevelType w:val="hybridMultilevel"/>
    <w:tmpl w:val="E424FAF8"/>
    <w:lvl w:ilvl="0" w:tplc="C210793E">
      <w:start w:val="1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4A1776"/>
    <w:multiLevelType w:val="hybridMultilevel"/>
    <w:tmpl w:val="5C8262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73431FE"/>
    <w:multiLevelType w:val="hybridMultilevel"/>
    <w:tmpl w:val="4F861C50"/>
    <w:lvl w:ilvl="0" w:tplc="46663E0A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D695CB4"/>
    <w:multiLevelType w:val="hybridMultilevel"/>
    <w:tmpl w:val="FFEEEC62"/>
    <w:lvl w:ilvl="0" w:tplc="352C5CA0">
      <w:start w:val="1"/>
      <w:numFmt w:val="taiwaneseCountingThousand"/>
      <w:lvlText w:val="%1、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5" w15:restartNumberingAfterBreak="0">
    <w:nsid w:val="2E203B55"/>
    <w:multiLevelType w:val="hybridMultilevel"/>
    <w:tmpl w:val="B36CD83C"/>
    <w:lvl w:ilvl="0" w:tplc="EE8E48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42C485E"/>
    <w:multiLevelType w:val="hybridMultilevel"/>
    <w:tmpl w:val="0C602E0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61D2CF7"/>
    <w:multiLevelType w:val="hybridMultilevel"/>
    <w:tmpl w:val="B1964E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82E7749"/>
    <w:multiLevelType w:val="hybridMultilevel"/>
    <w:tmpl w:val="F18AFE0E"/>
    <w:lvl w:ilvl="0" w:tplc="D75EDA6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D082AC7"/>
    <w:multiLevelType w:val="hybridMultilevel"/>
    <w:tmpl w:val="BD141C8E"/>
    <w:lvl w:ilvl="0" w:tplc="F4E6DA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E2CCF"/>
    <w:multiLevelType w:val="hybridMultilevel"/>
    <w:tmpl w:val="8B52705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46A564D3"/>
    <w:multiLevelType w:val="hybridMultilevel"/>
    <w:tmpl w:val="7E76D4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7787861"/>
    <w:multiLevelType w:val="hybridMultilevel"/>
    <w:tmpl w:val="C7E66E7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D1E4387"/>
    <w:multiLevelType w:val="hybridMultilevel"/>
    <w:tmpl w:val="ABBCEE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821FB7"/>
    <w:multiLevelType w:val="hybridMultilevel"/>
    <w:tmpl w:val="22DE299A"/>
    <w:lvl w:ilvl="0" w:tplc="EE8E48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8CA7B8B"/>
    <w:multiLevelType w:val="hybridMultilevel"/>
    <w:tmpl w:val="9EAEEC6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DBC2D71"/>
    <w:multiLevelType w:val="hybridMultilevel"/>
    <w:tmpl w:val="B0680490"/>
    <w:lvl w:ilvl="0" w:tplc="9BC08B5C">
      <w:start w:val="1"/>
      <w:numFmt w:val="taiwaneseCountingThousand"/>
      <w:lvlText w:val="第%1條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F516A6"/>
    <w:multiLevelType w:val="hybridMultilevel"/>
    <w:tmpl w:val="CD0E16EE"/>
    <w:lvl w:ilvl="0" w:tplc="EE8E48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1DA2CCE"/>
    <w:multiLevelType w:val="multilevel"/>
    <w:tmpl w:val="A2763452"/>
    <w:lvl w:ilvl="0">
      <w:start w:val="1"/>
      <w:numFmt w:val="taiwaneseCountingThousand"/>
      <w:lvlText w:val="%1、"/>
      <w:lvlJc w:val="left"/>
      <w:pPr>
        <w:ind w:left="2749" w:hanging="480"/>
      </w:pPr>
      <w:rPr>
        <w:rFonts w:hint="eastAsia"/>
        <w:lang w:val="en-US"/>
      </w:rPr>
    </w:lvl>
    <w:lvl w:ilvl="1">
      <w:start w:val="1"/>
      <w:numFmt w:val="ideographDigital"/>
      <w:lvlText w:val="（%2）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4FE3F2D"/>
    <w:multiLevelType w:val="hybridMultilevel"/>
    <w:tmpl w:val="C64CD46C"/>
    <w:lvl w:ilvl="0" w:tplc="46663E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657C06C2"/>
    <w:multiLevelType w:val="hybridMultilevel"/>
    <w:tmpl w:val="F0301E4E"/>
    <w:lvl w:ilvl="0" w:tplc="46663E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680F4F19"/>
    <w:multiLevelType w:val="hybridMultilevel"/>
    <w:tmpl w:val="86109694"/>
    <w:lvl w:ilvl="0" w:tplc="02DCFCC6">
      <w:start w:val="1"/>
      <w:numFmt w:val="decimal"/>
      <w:lvlText w:val="%1."/>
      <w:lvlJc w:val="left"/>
      <w:pPr>
        <w:ind w:left="30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2" w15:restartNumberingAfterBreak="0">
    <w:nsid w:val="740E02C2"/>
    <w:multiLevelType w:val="hybridMultilevel"/>
    <w:tmpl w:val="1AF0D4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74C61ED"/>
    <w:multiLevelType w:val="hybridMultilevel"/>
    <w:tmpl w:val="FC7E21FE"/>
    <w:lvl w:ilvl="0" w:tplc="F4E6DA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3A227E"/>
    <w:multiLevelType w:val="hybridMultilevel"/>
    <w:tmpl w:val="0C8A86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54354398">
    <w:abstractNumId w:val="28"/>
  </w:num>
  <w:num w:numId="2" w16cid:durableId="695276322">
    <w:abstractNumId w:val="15"/>
  </w:num>
  <w:num w:numId="3" w16cid:durableId="1296985684">
    <w:abstractNumId w:val="24"/>
  </w:num>
  <w:num w:numId="4" w16cid:durableId="287781080">
    <w:abstractNumId w:val="32"/>
  </w:num>
  <w:num w:numId="5" w16cid:durableId="582908310">
    <w:abstractNumId w:val="16"/>
  </w:num>
  <w:num w:numId="6" w16cid:durableId="382605638">
    <w:abstractNumId w:val="27"/>
  </w:num>
  <w:num w:numId="7" w16cid:durableId="1385760096">
    <w:abstractNumId w:val="20"/>
  </w:num>
  <w:num w:numId="8" w16cid:durableId="350880280">
    <w:abstractNumId w:val="23"/>
  </w:num>
  <w:num w:numId="9" w16cid:durableId="826942614">
    <w:abstractNumId w:val="17"/>
  </w:num>
  <w:num w:numId="10" w16cid:durableId="1366758684">
    <w:abstractNumId w:val="25"/>
  </w:num>
  <w:num w:numId="11" w16cid:durableId="755323960">
    <w:abstractNumId w:val="3"/>
  </w:num>
  <w:num w:numId="12" w16cid:durableId="354693729">
    <w:abstractNumId w:val="10"/>
  </w:num>
  <w:num w:numId="13" w16cid:durableId="1114055228">
    <w:abstractNumId w:val="1"/>
  </w:num>
  <w:num w:numId="14" w16cid:durableId="315764108">
    <w:abstractNumId w:val="34"/>
  </w:num>
  <w:num w:numId="15" w16cid:durableId="295333524">
    <w:abstractNumId w:val="12"/>
  </w:num>
  <w:num w:numId="16" w16cid:durableId="217593490">
    <w:abstractNumId w:val="22"/>
  </w:num>
  <w:num w:numId="17" w16cid:durableId="866211814">
    <w:abstractNumId w:val="19"/>
  </w:num>
  <w:num w:numId="18" w16cid:durableId="801533143">
    <w:abstractNumId w:val="33"/>
  </w:num>
  <w:num w:numId="19" w16cid:durableId="349915325">
    <w:abstractNumId w:val="8"/>
  </w:num>
  <w:num w:numId="20" w16cid:durableId="726807635">
    <w:abstractNumId w:val="2"/>
  </w:num>
  <w:num w:numId="21" w16cid:durableId="1865972662">
    <w:abstractNumId w:val="6"/>
  </w:num>
  <w:num w:numId="22" w16cid:durableId="643705295">
    <w:abstractNumId w:val="29"/>
  </w:num>
  <w:num w:numId="23" w16cid:durableId="384915644">
    <w:abstractNumId w:val="9"/>
  </w:num>
  <w:num w:numId="24" w16cid:durableId="1408728532">
    <w:abstractNumId w:val="18"/>
  </w:num>
  <w:num w:numId="25" w16cid:durableId="1355037946">
    <w:abstractNumId w:val="4"/>
  </w:num>
  <w:num w:numId="26" w16cid:durableId="1784029718">
    <w:abstractNumId w:val="13"/>
  </w:num>
  <w:num w:numId="27" w16cid:durableId="1846431690">
    <w:abstractNumId w:val="21"/>
  </w:num>
  <w:num w:numId="28" w16cid:durableId="748499191">
    <w:abstractNumId w:val="7"/>
  </w:num>
  <w:num w:numId="29" w16cid:durableId="45448242">
    <w:abstractNumId w:val="30"/>
  </w:num>
  <w:num w:numId="30" w16cid:durableId="1924534742">
    <w:abstractNumId w:val="0"/>
  </w:num>
  <w:num w:numId="31" w16cid:durableId="1011102255">
    <w:abstractNumId w:val="31"/>
  </w:num>
  <w:num w:numId="32" w16cid:durableId="1490633649">
    <w:abstractNumId w:val="5"/>
  </w:num>
  <w:num w:numId="33" w16cid:durableId="1310011181">
    <w:abstractNumId w:val="26"/>
  </w:num>
  <w:num w:numId="34" w16cid:durableId="2117168650">
    <w:abstractNumId w:val="11"/>
  </w:num>
  <w:num w:numId="35" w16cid:durableId="2120559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97"/>
    <w:rsid w:val="00054A1C"/>
    <w:rsid w:val="00072E6A"/>
    <w:rsid w:val="00091ADD"/>
    <w:rsid w:val="000A69BB"/>
    <w:rsid w:val="000D4110"/>
    <w:rsid w:val="00101826"/>
    <w:rsid w:val="00116276"/>
    <w:rsid w:val="00145DC1"/>
    <w:rsid w:val="00172C34"/>
    <w:rsid w:val="001744FB"/>
    <w:rsid w:val="00190322"/>
    <w:rsid w:val="00196070"/>
    <w:rsid w:val="001A64A6"/>
    <w:rsid w:val="00291B02"/>
    <w:rsid w:val="002A6759"/>
    <w:rsid w:val="002A73FE"/>
    <w:rsid w:val="002C20D6"/>
    <w:rsid w:val="002D61B5"/>
    <w:rsid w:val="00316D99"/>
    <w:rsid w:val="0031787C"/>
    <w:rsid w:val="00343A55"/>
    <w:rsid w:val="003670EB"/>
    <w:rsid w:val="00370A71"/>
    <w:rsid w:val="003746BA"/>
    <w:rsid w:val="003C460C"/>
    <w:rsid w:val="003E26F1"/>
    <w:rsid w:val="00410838"/>
    <w:rsid w:val="004208E8"/>
    <w:rsid w:val="00477728"/>
    <w:rsid w:val="004D7EF9"/>
    <w:rsid w:val="004F3C16"/>
    <w:rsid w:val="005265C5"/>
    <w:rsid w:val="005E701E"/>
    <w:rsid w:val="006226D3"/>
    <w:rsid w:val="00672297"/>
    <w:rsid w:val="0069709C"/>
    <w:rsid w:val="006F2CE7"/>
    <w:rsid w:val="00705039"/>
    <w:rsid w:val="007077D5"/>
    <w:rsid w:val="00747695"/>
    <w:rsid w:val="00747B83"/>
    <w:rsid w:val="0079575E"/>
    <w:rsid w:val="00885E44"/>
    <w:rsid w:val="008862CB"/>
    <w:rsid w:val="008A2308"/>
    <w:rsid w:val="008B4E22"/>
    <w:rsid w:val="008D67B9"/>
    <w:rsid w:val="00950610"/>
    <w:rsid w:val="00972959"/>
    <w:rsid w:val="0097335E"/>
    <w:rsid w:val="00975613"/>
    <w:rsid w:val="009962A7"/>
    <w:rsid w:val="009B2678"/>
    <w:rsid w:val="009D0E2A"/>
    <w:rsid w:val="009D5DE3"/>
    <w:rsid w:val="00A049C9"/>
    <w:rsid w:val="00A77C1C"/>
    <w:rsid w:val="00AA4AE2"/>
    <w:rsid w:val="00B2617E"/>
    <w:rsid w:val="00B65F12"/>
    <w:rsid w:val="00BD3AE6"/>
    <w:rsid w:val="00C506D9"/>
    <w:rsid w:val="00C60D77"/>
    <w:rsid w:val="00C61CA0"/>
    <w:rsid w:val="00C6424E"/>
    <w:rsid w:val="00CA6A34"/>
    <w:rsid w:val="00CB6ED3"/>
    <w:rsid w:val="00DA4ECE"/>
    <w:rsid w:val="00DE292D"/>
    <w:rsid w:val="00DE4089"/>
    <w:rsid w:val="00DF4904"/>
    <w:rsid w:val="00DF4A56"/>
    <w:rsid w:val="00E05CD5"/>
    <w:rsid w:val="00E818B8"/>
    <w:rsid w:val="00E857D9"/>
    <w:rsid w:val="00EA27D0"/>
    <w:rsid w:val="00EC101E"/>
    <w:rsid w:val="00ED233E"/>
    <w:rsid w:val="00F80BD5"/>
    <w:rsid w:val="00F960B5"/>
    <w:rsid w:val="00FB66D2"/>
    <w:rsid w:val="00FC69C9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AD0D"/>
  <w15:docId w15:val="{AD6E378C-BC46-42C5-A6B9-5C265AE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A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ADD"/>
    <w:rPr>
      <w:sz w:val="20"/>
      <w:szCs w:val="20"/>
    </w:rPr>
  </w:style>
  <w:style w:type="paragraph" w:styleId="a7">
    <w:name w:val="List Paragraph"/>
    <w:basedOn w:val="a"/>
    <w:uiPriority w:val="34"/>
    <w:qFormat/>
    <w:rsid w:val="00091ADD"/>
    <w:pPr>
      <w:ind w:leftChars="200" w:left="480"/>
    </w:pPr>
  </w:style>
  <w:style w:type="table" w:styleId="a8">
    <w:name w:val="Table Grid"/>
    <w:basedOn w:val="a1"/>
    <w:uiPriority w:val="59"/>
    <w:rsid w:val="007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4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4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1</Pages>
  <Words>680</Words>
  <Characters>704</Characters>
  <Application>Microsoft Office Word</Application>
  <DocSecurity>0</DocSecurity>
  <Lines>51</Lines>
  <Paragraphs>32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高懿廷 (113423074)</cp:lastModifiedBy>
  <cp:revision>10</cp:revision>
  <cp:lastPrinted>2022-10-28T02:00:00Z</cp:lastPrinted>
  <dcterms:created xsi:type="dcterms:W3CDTF">2022-10-25T06:49:00Z</dcterms:created>
  <dcterms:modified xsi:type="dcterms:W3CDTF">2026-03-12T06:39:00Z</dcterms:modified>
</cp:coreProperties>
</file>